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0026D5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WYBORU</w:t>
            </w:r>
            <w:r w:rsidRPr="00E644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8E4BC2" w:rsidRDefault="000026D5" w:rsidP="0079374B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397DF8" w:rsidRPr="0079374B">
              <w:rPr>
                <w:b/>
                <w:sz w:val="24"/>
                <w:szCs w:val="24"/>
              </w:rPr>
              <w:t>Przedsiębiorstwo na rynku usług bankowych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79374B" w:rsidP="00397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D509B8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79374B">
              <w:rPr>
                <w:b/>
                <w:sz w:val="24"/>
                <w:szCs w:val="24"/>
              </w:rPr>
              <w:t>I/</w:t>
            </w:r>
            <w:r>
              <w:rPr>
                <w:b/>
                <w:sz w:val="24"/>
                <w:szCs w:val="24"/>
              </w:rPr>
              <w:t>I</w:t>
            </w:r>
            <w:r w:rsidR="007937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E6446C">
              <w:rPr>
                <w:b/>
                <w:sz w:val="24"/>
                <w:szCs w:val="24"/>
              </w:rPr>
              <w:t>akultatywny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397DF8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Krzysztof Dobrowolski prof. PWSZ</w:t>
            </w:r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397DF8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Krzysztof Dobrowolski prof. PWSZ</w:t>
            </w:r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397DF8" w:rsidP="0039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studentów z usługami bankowymi, z których mogą korzystać przedsiębiorstwa 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397DF8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397DF8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Wiedza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397DF8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397DF8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Wyjaśnia i ilustruje  wpływ oddziaływania otoczenia zewnętrznego na działalność przedsiębiorstwa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397DF8" w:rsidP="00397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397DF8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A2420D" w:rsidP="00A242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Identyfikuje relacje między podmiotami gospodarczymi a innymi instytucjami społecznymi tworzącymi ich otoczenie w skali międzynarodowej i krajowej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A2420D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A2420D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Umiejętności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A2420D" w:rsidP="00A2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A2420D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Wykorzystuje wiedzę teoretyczną i praktyczną w określaniu kierunku funkcjonowania organizacji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A2420D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K1P_U01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A2420D" w:rsidP="00A2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A2420D" w:rsidP="00540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Wskazuje innowacyjne i niekonwencjonalne rozwiązania z zakresu funkcjonowania biznesu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A2420D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K1P_U22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A2420D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Kompetencje społeczne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A2420D" w:rsidP="00A2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0026D5" w:rsidRPr="00E6446C" w:rsidRDefault="00A2420D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Współdziała w pracy i grupie przyjmując w niej różne role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26D5" w:rsidRPr="00E6446C" w:rsidRDefault="00A42BF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A42BF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26D5" w:rsidRPr="00E6446C" w:rsidRDefault="00A42BF5" w:rsidP="00A42B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Angażuje się w różne formy zdobywania wiedzy i umiejętności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6D5" w:rsidRPr="00E6446C" w:rsidRDefault="00A42BF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K1P_K10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79374B" w:rsidTr="0079374B">
        <w:tc>
          <w:tcPr>
            <w:tcW w:w="10008" w:type="dxa"/>
            <w:shd w:val="clear" w:color="auto" w:fill="auto"/>
          </w:tcPr>
          <w:p w:rsidR="000026D5" w:rsidRPr="0079374B" w:rsidRDefault="0079374B" w:rsidP="0079374B">
            <w:pPr>
              <w:jc w:val="both"/>
              <w:rPr>
                <w:sz w:val="24"/>
                <w:szCs w:val="24"/>
              </w:rPr>
            </w:pPr>
            <w:r w:rsidRPr="0079374B">
              <w:rPr>
                <w:sz w:val="24"/>
                <w:szCs w:val="24"/>
              </w:rPr>
              <w:t>S</w:t>
            </w:r>
            <w:r w:rsidR="00A42BF5" w:rsidRPr="0079374B">
              <w:rPr>
                <w:sz w:val="24"/>
                <w:szCs w:val="24"/>
              </w:rPr>
              <w:t>ystem bankowy, infrastruktura rozliczeń międzynarodowych, nieuwarunkowane formy płatności, weksel, inkaso dokumentowe, akredytywa dokumentowa, factoring, forfaiting, leasing, kredyt, gwarancje bankowe, operacje płatnicze, formy lokowania nadwyżek</w:t>
            </w:r>
            <w:r w:rsidR="00F2173C" w:rsidRPr="0079374B">
              <w:rPr>
                <w:sz w:val="24"/>
                <w:szCs w:val="24"/>
              </w:rPr>
              <w:t xml:space="preserve"> finansowych</w:t>
            </w:r>
            <w:r w:rsidR="00A42BF5" w:rsidRPr="0079374B">
              <w:rPr>
                <w:sz w:val="24"/>
                <w:szCs w:val="24"/>
              </w:rPr>
              <w:t>,</w:t>
            </w:r>
            <w:r w:rsidR="00F2173C" w:rsidRPr="0079374B">
              <w:rPr>
                <w:sz w:val="24"/>
                <w:szCs w:val="24"/>
              </w:rPr>
              <w:t xml:space="preserve"> fundusze inwestycyjne, usługi bankowości elektronicznej, </w:t>
            </w:r>
            <w:proofErr w:type="spellStart"/>
            <w:r w:rsidR="00F2173C" w:rsidRPr="0079374B">
              <w:rPr>
                <w:sz w:val="24"/>
                <w:szCs w:val="24"/>
              </w:rPr>
              <w:t>private</w:t>
            </w:r>
            <w:proofErr w:type="spellEnd"/>
            <w:r w:rsidR="00F2173C" w:rsidRPr="0079374B">
              <w:rPr>
                <w:sz w:val="24"/>
                <w:szCs w:val="24"/>
              </w:rPr>
              <w:t xml:space="preserve"> banking, przestępstwa bankowe.</w:t>
            </w:r>
            <w:r w:rsidR="00A42BF5" w:rsidRPr="0079374B">
              <w:rPr>
                <w:sz w:val="24"/>
                <w:szCs w:val="24"/>
              </w:rPr>
              <w:t xml:space="preserve">        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jc w:val="both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ind w:left="360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0026D5" w:rsidRDefault="00F2173C" w:rsidP="00F2173C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Rozliczenia międzynarodowe, pod red. D. </w:t>
            </w:r>
            <w:proofErr w:type="spellStart"/>
            <w:r>
              <w:rPr>
                <w:sz w:val="24"/>
                <w:szCs w:val="24"/>
              </w:rPr>
              <w:t>Marciniak-Neider</w:t>
            </w:r>
            <w:proofErr w:type="spellEnd"/>
            <w:r>
              <w:rPr>
                <w:sz w:val="24"/>
                <w:szCs w:val="24"/>
              </w:rPr>
              <w:t>, Warszawa 2011</w:t>
            </w:r>
          </w:p>
          <w:p w:rsidR="00F2173C" w:rsidRPr="00E6446C" w:rsidRDefault="006C4254" w:rsidP="00F2173C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Grzywacz, Współpraca przedsiębiorstwa z bankiem, Warszawa 2006</w:t>
            </w:r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0026D5" w:rsidRDefault="006C4254" w:rsidP="00002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Grzywacz, Pranie pieniędzy, Warszawa 2010</w:t>
            </w:r>
          </w:p>
          <w:p w:rsidR="006C4254" w:rsidRDefault="006C4254" w:rsidP="006C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Opolski, T. Potocki, T. Świst, </w:t>
            </w:r>
            <w:proofErr w:type="spellStart"/>
            <w:r>
              <w:rPr>
                <w:sz w:val="24"/>
                <w:szCs w:val="24"/>
              </w:rPr>
              <w:t>Wealth</w:t>
            </w:r>
            <w:proofErr w:type="spellEnd"/>
            <w:r>
              <w:rPr>
                <w:sz w:val="24"/>
                <w:szCs w:val="24"/>
              </w:rPr>
              <w:t xml:space="preserve"> Management. Bankowość dla bogatych, Warszawa 2010</w:t>
            </w:r>
          </w:p>
          <w:p w:rsidR="006C4254" w:rsidRPr="00E6446C" w:rsidRDefault="006C4254" w:rsidP="006C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 Wiatr, Bankowość korporacyjna, Warszawa 2012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635F9A" w:rsidP="00635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 z prezentacją multimedialną, dyskusja, objaśnienia, 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79374B">
        <w:trPr>
          <w:trHeight w:val="508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635F9A" w:rsidP="00BA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Test, udział w dyskusjach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BA7A8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01,02,03,04,05,06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BA7A89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BA7A89">
              <w:rPr>
                <w:sz w:val="24"/>
                <w:szCs w:val="24"/>
              </w:rPr>
              <w:t>Test jednokrotnego wyboru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BA7A8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BA7A8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BD5780" w:rsidRDefault="00BA7A89" w:rsidP="005406F0">
            <w:pPr>
              <w:jc w:val="center"/>
              <w:rPr>
                <w:sz w:val="24"/>
                <w:szCs w:val="24"/>
              </w:rPr>
            </w:pPr>
            <w:r w:rsidRPr="00BD5780">
              <w:rPr>
                <w:sz w:val="24"/>
                <w:szCs w:val="24"/>
              </w:rPr>
              <w:t>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E6446C" w:rsidRDefault="00BA7A8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BD578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6446C" w:rsidRDefault="00BD5780" w:rsidP="00BD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0026D5" w:rsidRPr="00E6446C" w:rsidTr="00CB724B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BA7A89" w:rsidRPr="008E4BC2" w:rsidRDefault="00BA7A89" w:rsidP="00CB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0D0A9A"/>
    <w:rsid w:val="001C5AA1"/>
    <w:rsid w:val="001D41D1"/>
    <w:rsid w:val="002370F3"/>
    <w:rsid w:val="003739EF"/>
    <w:rsid w:val="00397DF8"/>
    <w:rsid w:val="00410868"/>
    <w:rsid w:val="005752D3"/>
    <w:rsid w:val="005B3FEB"/>
    <w:rsid w:val="00635F9A"/>
    <w:rsid w:val="006C4254"/>
    <w:rsid w:val="0079374B"/>
    <w:rsid w:val="00A2420D"/>
    <w:rsid w:val="00A42BF5"/>
    <w:rsid w:val="00BA7A89"/>
    <w:rsid w:val="00BD5780"/>
    <w:rsid w:val="00CB724B"/>
    <w:rsid w:val="00D509B8"/>
    <w:rsid w:val="00F2173C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3</cp:revision>
  <dcterms:created xsi:type="dcterms:W3CDTF">2014-05-06T10:43:00Z</dcterms:created>
  <dcterms:modified xsi:type="dcterms:W3CDTF">2016-08-02T11:01:00Z</dcterms:modified>
</cp:coreProperties>
</file>